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EA" w:rsidRPr="00F279EA" w:rsidRDefault="00F279EA" w:rsidP="00F279E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279EA">
        <w:rPr>
          <w:rFonts w:ascii="Times New Roman" w:eastAsia="Times New Roman" w:hAnsi="Times New Roman" w:cs="Times New Roman"/>
          <w:b/>
          <w:bCs/>
          <w:sz w:val="36"/>
          <w:szCs w:val="36"/>
          <w:lang w:eastAsia="ru-RU"/>
        </w:rPr>
        <w:t>Статья 220. Имущественные налоговые вычеты</w:t>
      </w:r>
    </w:p>
    <w:p w:rsidR="00F279EA" w:rsidRPr="00F279EA" w:rsidRDefault="00F279EA" w:rsidP="00F279EA">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F279EA">
          <w:rPr>
            <w:rFonts w:ascii="Times New Roman" w:eastAsia="Times New Roman" w:hAnsi="Times New Roman" w:cs="Times New Roman"/>
            <w:color w:val="0000FF"/>
            <w:sz w:val="24"/>
            <w:szCs w:val="24"/>
            <w:u w:val="single"/>
            <w:lang w:eastAsia="ru-RU"/>
          </w:rPr>
          <w:t>[Налоговый кодекс РФ]</w:t>
        </w:r>
      </w:hyperlink>
      <w:r w:rsidRPr="00F279EA">
        <w:rPr>
          <w:rFonts w:ascii="Times New Roman" w:eastAsia="Times New Roman" w:hAnsi="Times New Roman" w:cs="Times New Roman"/>
          <w:sz w:val="24"/>
          <w:szCs w:val="24"/>
          <w:lang w:eastAsia="ru-RU"/>
        </w:rPr>
        <w:t xml:space="preserve"> </w:t>
      </w:r>
      <w:hyperlink r:id="rId6" w:tooltip="Налог на доходы физических лиц" w:history="1">
        <w:r w:rsidRPr="00F279EA">
          <w:rPr>
            <w:rFonts w:ascii="Times New Roman" w:eastAsia="Times New Roman" w:hAnsi="Times New Roman" w:cs="Times New Roman"/>
            <w:color w:val="0000FF"/>
            <w:sz w:val="24"/>
            <w:szCs w:val="24"/>
            <w:u w:val="single"/>
            <w:lang w:eastAsia="ru-RU"/>
          </w:rPr>
          <w:t>[Глава 23]</w:t>
        </w:r>
      </w:hyperlink>
      <w:r w:rsidRPr="00F279EA">
        <w:rPr>
          <w:rFonts w:ascii="Times New Roman" w:eastAsia="Times New Roman" w:hAnsi="Times New Roman" w:cs="Times New Roman"/>
          <w:sz w:val="24"/>
          <w:szCs w:val="24"/>
          <w:lang w:eastAsia="ru-RU"/>
        </w:rPr>
        <w:t xml:space="preserve"> </w:t>
      </w:r>
      <w:hyperlink r:id="rId7" w:tooltip="Имущественные налоговые вычеты" w:history="1">
        <w:r w:rsidRPr="00F279EA">
          <w:rPr>
            <w:rFonts w:ascii="Times New Roman" w:eastAsia="Times New Roman" w:hAnsi="Times New Roman" w:cs="Times New Roman"/>
            <w:color w:val="0000FF"/>
            <w:sz w:val="24"/>
            <w:szCs w:val="24"/>
            <w:u w:val="single"/>
            <w:lang w:eastAsia="ru-RU"/>
          </w:rPr>
          <w:t>[Статья 220]</w:t>
        </w:r>
      </w:hyperlink>
      <w:r w:rsidRPr="00F279EA">
        <w:rPr>
          <w:rFonts w:ascii="Times New Roman" w:eastAsia="Times New Roman" w:hAnsi="Times New Roman" w:cs="Times New Roman"/>
          <w:sz w:val="24"/>
          <w:szCs w:val="24"/>
          <w:lang w:eastAsia="ru-RU"/>
        </w:rPr>
        <w:t xml:space="preserve"> </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2. Имущественный налоговый вычет, предусмотренный подпунктом 1 пункта 1 настоящей статьи, предоставляется с учетом следующих особенностей: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1) имущественный налоговый вычет предоставляется:</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 xml:space="preserve">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w:t>
      </w:r>
      <w:r w:rsidRPr="00F279EA">
        <w:rPr>
          <w:rFonts w:ascii="Times New Roman" w:eastAsia="Times New Roman" w:hAnsi="Times New Roman" w:cs="Times New Roman"/>
          <w:sz w:val="24"/>
          <w:szCs w:val="24"/>
          <w:lang w:eastAsia="ru-RU"/>
        </w:rPr>
        <w:lastRenderedPageBreak/>
        <w:t>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В состав расходов налогоплательщика, связанных с приобретением доли в уставном капитале общества, могут включаться следующие расходы:</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приобретение или увеличение доли в уставном капитале общества.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lastRenderedPageBreak/>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от продажи недвижимого имущества и (или) транспортных средств, которые использовались в предпринимательской деятельности;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lastRenderedPageBreak/>
        <w:t>от реализации ценных бумаг;</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3. Имущественный налоговый вычет, предусмотренный подпунктом 3 пункта 1 настоящей статьи, предоставляется с учетом следующих особенностей: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lastRenderedPageBreak/>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разработку проектной и сметной документации;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приобретение строительных и отделочных материалов;</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приобретение жилого дома или доли (долей) в нем, в том числе не оконченного строительством;</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4) в фактические расходы на приобретение квартиры, комнаты или доли (долей) в них могут включаться следующие расходы:</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приобретение отделочных материалов;</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6) для подтверждения права на имущественный налоговый вычет налогоплательщик представляет в налоговый орган:</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lastRenderedPageBreak/>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lastRenderedPageBreak/>
        <w:t>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 xml:space="preserve">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w:t>
      </w:r>
      <w:r w:rsidRPr="00F279EA">
        <w:rPr>
          <w:rFonts w:ascii="Times New Roman" w:eastAsia="Times New Roman" w:hAnsi="Times New Roman" w:cs="Times New Roman"/>
          <w:sz w:val="24"/>
          <w:szCs w:val="24"/>
          <w:lang w:eastAsia="ru-RU"/>
        </w:rPr>
        <w:lastRenderedPageBreak/>
        <w:t>налогоплательщик имеет право на получение имущественных налоговых вычетов в порядке, предусмотренном пунктом 7 настоящей статьи.</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F279EA" w:rsidRPr="00F279EA" w:rsidRDefault="00F279EA" w:rsidP="00F279EA">
      <w:pPr>
        <w:spacing w:before="100" w:beforeAutospacing="1" w:after="100" w:afterAutospacing="1" w:line="240" w:lineRule="auto"/>
        <w:rPr>
          <w:rFonts w:ascii="Times New Roman" w:eastAsia="Times New Roman" w:hAnsi="Times New Roman" w:cs="Times New Roman"/>
          <w:sz w:val="24"/>
          <w:szCs w:val="24"/>
          <w:lang w:eastAsia="ru-RU"/>
        </w:rPr>
      </w:pPr>
      <w:r w:rsidRPr="00F279EA">
        <w:rPr>
          <w:rFonts w:ascii="Times New Roman" w:eastAsia="Times New Roman" w:hAnsi="Times New Roman" w:cs="Times New Roman"/>
          <w:sz w:val="24"/>
          <w:szCs w:val="24"/>
          <w:lang w:eastAsia="ru-RU"/>
        </w:rPr>
        <w:t>11. Повторное предоставление налоговых вычетов, предусмотренных подпунктами 3 и 4 пункта 1 настоящей статьи, не допускается.</w:t>
      </w:r>
    </w:p>
    <w:p w:rsidR="00E77120" w:rsidRDefault="00E77120">
      <w:bookmarkStart w:id="0" w:name="_GoBack"/>
      <w:bookmarkEnd w:id="0"/>
    </w:p>
    <w:sectPr w:rsidR="00E77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EA"/>
    <w:rsid w:val="00E77120"/>
    <w:rsid w:val="00F2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79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9E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279EA"/>
    <w:rPr>
      <w:color w:val="0000FF"/>
      <w:u w:val="single"/>
    </w:rPr>
  </w:style>
  <w:style w:type="paragraph" w:styleId="a4">
    <w:name w:val="Normal (Web)"/>
    <w:basedOn w:val="a"/>
    <w:uiPriority w:val="99"/>
    <w:semiHidden/>
    <w:unhideWhenUsed/>
    <w:rsid w:val="00F27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279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79E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279EA"/>
    <w:rPr>
      <w:color w:val="0000FF"/>
      <w:u w:val="single"/>
    </w:rPr>
  </w:style>
  <w:style w:type="paragraph" w:styleId="a4">
    <w:name w:val="Normal (Web)"/>
    <w:basedOn w:val="a"/>
    <w:uiPriority w:val="99"/>
    <w:semiHidden/>
    <w:unhideWhenUsed/>
    <w:rsid w:val="00F279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8314">
      <w:bodyDiv w:val="1"/>
      <w:marLeft w:val="0"/>
      <w:marRight w:val="0"/>
      <w:marTop w:val="0"/>
      <w:marBottom w:val="0"/>
      <w:divBdr>
        <w:top w:val="none" w:sz="0" w:space="0" w:color="auto"/>
        <w:left w:val="none" w:sz="0" w:space="0" w:color="auto"/>
        <w:bottom w:val="none" w:sz="0" w:space="0" w:color="auto"/>
        <w:right w:val="none" w:sz="0" w:space="0" w:color="auto"/>
      </w:divBdr>
      <w:divsChild>
        <w:div w:id="1746998976">
          <w:marLeft w:val="0"/>
          <w:marRight w:val="0"/>
          <w:marTop w:val="0"/>
          <w:marBottom w:val="0"/>
          <w:divBdr>
            <w:top w:val="none" w:sz="0" w:space="0" w:color="auto"/>
            <w:left w:val="none" w:sz="0" w:space="0" w:color="auto"/>
            <w:bottom w:val="none" w:sz="0" w:space="0" w:color="auto"/>
            <w:right w:val="none" w:sz="0" w:space="0" w:color="auto"/>
          </w:divBdr>
        </w:div>
        <w:div w:id="152405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3500</Words>
  <Characters>19955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2016-06-21T11:06:00Z</dcterms:created>
  <dcterms:modified xsi:type="dcterms:W3CDTF">2016-06-21T11:06:00Z</dcterms:modified>
</cp:coreProperties>
</file>